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AF0A" w14:textId="77777777" w:rsidR="00291F6F" w:rsidRDefault="00291F6F"/>
    <w:p w14:paraId="06FA7AD0" w14:textId="77777777" w:rsidR="00291F6F" w:rsidRDefault="00291F6F"/>
    <w:p w14:paraId="6810D29B" w14:textId="77777777" w:rsidR="00291F6F" w:rsidRDefault="00291F6F"/>
    <w:p w14:paraId="2E1016D0" w14:textId="2A848664" w:rsidR="00291F6F" w:rsidRDefault="00291F6F">
      <w:pPr>
        <w:rPr>
          <w:noProof/>
        </w:rPr>
      </w:pPr>
    </w:p>
    <w:p w14:paraId="74D1B974" w14:textId="7041D845" w:rsidR="00291F6F" w:rsidRDefault="00291F6F">
      <w:pPr>
        <w:rPr>
          <w:noProof/>
        </w:rPr>
      </w:pPr>
    </w:p>
    <w:p w14:paraId="0B39F060" w14:textId="0F0EE65C" w:rsidR="00291F6F" w:rsidRDefault="00291F6F">
      <w:pPr>
        <w:rPr>
          <w:noProof/>
        </w:rPr>
      </w:pPr>
    </w:p>
    <w:p w14:paraId="22BFBB64" w14:textId="39247375" w:rsidR="00291F6F" w:rsidRDefault="00291F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381A7" wp14:editId="6A0A36D5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099560" cy="1927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9CF10" w14:textId="77777777" w:rsidR="00291F6F" w:rsidRDefault="00291F6F">
      <w:pPr>
        <w:rPr>
          <w:noProof/>
        </w:rPr>
      </w:pPr>
    </w:p>
    <w:p w14:paraId="5E8AD39E" w14:textId="3534F71B" w:rsidR="00291F6F" w:rsidRDefault="00291F6F">
      <w:pPr>
        <w:rPr>
          <w:noProof/>
        </w:rPr>
      </w:pPr>
    </w:p>
    <w:p w14:paraId="0928CBF7" w14:textId="77777777" w:rsidR="00291F6F" w:rsidRDefault="00291F6F">
      <w:pPr>
        <w:rPr>
          <w:noProof/>
        </w:rPr>
      </w:pPr>
    </w:p>
    <w:p w14:paraId="254CD0F7" w14:textId="7B38618F" w:rsidR="00291F6F" w:rsidRDefault="00291F6F"/>
    <w:p w14:paraId="0C6FAAF4" w14:textId="77777777" w:rsidR="00291F6F" w:rsidRDefault="00291F6F"/>
    <w:p w14:paraId="59373C4C" w14:textId="1DFC6029" w:rsidR="00291F6F" w:rsidRPr="00291F6F" w:rsidRDefault="00291F6F"/>
    <w:p w14:paraId="0CD2D405" w14:textId="77777777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2463D51A" w14:textId="479A6206" w:rsidR="00291F6F" w:rsidRPr="00291F6F" w:rsidRDefault="00923601" w:rsidP="00291F6F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The </w:t>
      </w:r>
      <w:r w:rsidR="00291F6F" w:rsidRPr="00291F6F">
        <w:rPr>
          <w:rFonts w:ascii="Century Gothic" w:hAnsi="Century Gothic"/>
          <w:sz w:val="40"/>
          <w:szCs w:val="40"/>
        </w:rPr>
        <w:t xml:space="preserve">Standard for </w:t>
      </w:r>
    </w:p>
    <w:p w14:paraId="203E6335" w14:textId="2F6434BA" w:rsidR="00501569" w:rsidRDefault="00291F6F" w:rsidP="00291F6F">
      <w:pPr>
        <w:jc w:val="center"/>
        <w:rPr>
          <w:rFonts w:ascii="Century Gothic" w:hAnsi="Century Gothic"/>
          <w:sz w:val="40"/>
          <w:szCs w:val="40"/>
        </w:rPr>
      </w:pPr>
      <w:r w:rsidRPr="00291F6F">
        <w:rPr>
          <w:rFonts w:ascii="Century Gothic" w:hAnsi="Century Gothic"/>
          <w:sz w:val="40"/>
          <w:szCs w:val="40"/>
        </w:rPr>
        <w:t xml:space="preserve">Travertine Paver </w:t>
      </w:r>
    </w:p>
    <w:p w14:paraId="26A3CFEC" w14:textId="1470B80F" w:rsidR="00291F6F" w:rsidRDefault="00291F6F" w:rsidP="00501569">
      <w:pPr>
        <w:jc w:val="center"/>
        <w:rPr>
          <w:rFonts w:ascii="Century Gothic" w:hAnsi="Century Gothic"/>
          <w:sz w:val="40"/>
          <w:szCs w:val="40"/>
        </w:rPr>
      </w:pPr>
      <w:r w:rsidRPr="00291F6F">
        <w:rPr>
          <w:rFonts w:ascii="Century Gothic" w:hAnsi="Century Gothic"/>
          <w:sz w:val="40"/>
          <w:szCs w:val="40"/>
        </w:rPr>
        <w:t>Quality Level Assessment</w:t>
      </w:r>
    </w:p>
    <w:p w14:paraId="5515E784" w14:textId="445F9CAD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230A7E01" w14:textId="6490A814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1C8CFE8E" w14:textId="680E47A7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06DFC91C" w14:textId="5232D8D0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03B492C3" w14:textId="416EE53B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565CF095" w14:textId="46867066" w:rsidR="00291F6F" w:rsidRDefault="00291F6F" w:rsidP="00291F6F">
      <w:pPr>
        <w:jc w:val="center"/>
        <w:rPr>
          <w:rFonts w:ascii="Century Gothic" w:hAnsi="Century Gothic"/>
          <w:sz w:val="40"/>
          <w:szCs w:val="40"/>
        </w:rPr>
      </w:pPr>
    </w:p>
    <w:p w14:paraId="572C3865" w14:textId="77777777" w:rsidR="00393377" w:rsidRDefault="00393377" w:rsidP="00393377">
      <w:pPr>
        <w:rPr>
          <w:rFonts w:ascii="Century Gothic" w:hAnsi="Century Gothic"/>
          <w:b/>
          <w:bCs/>
          <w:sz w:val="40"/>
          <w:szCs w:val="40"/>
        </w:rPr>
      </w:pPr>
    </w:p>
    <w:p w14:paraId="7B8CEE06" w14:textId="77777777" w:rsidR="00393377" w:rsidRDefault="00393377" w:rsidP="00393377">
      <w:pPr>
        <w:rPr>
          <w:rFonts w:ascii="Century Gothic" w:hAnsi="Century Gothic"/>
          <w:b/>
          <w:bCs/>
          <w:sz w:val="40"/>
          <w:szCs w:val="40"/>
        </w:rPr>
      </w:pPr>
    </w:p>
    <w:p w14:paraId="2BAA4C33" w14:textId="15A0A822" w:rsidR="00393377" w:rsidRPr="00393377" w:rsidRDefault="00923601" w:rsidP="00393377">
      <w:pPr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lastRenderedPageBreak/>
        <w:t xml:space="preserve">GSI </w:t>
      </w:r>
      <w:r w:rsidR="00393377" w:rsidRPr="00393377">
        <w:rPr>
          <w:rFonts w:ascii="Century Gothic" w:hAnsi="Century Gothic"/>
          <w:b/>
          <w:bCs/>
          <w:sz w:val="40"/>
          <w:szCs w:val="40"/>
        </w:rPr>
        <w:t>Quality Levels</w:t>
      </w:r>
    </w:p>
    <w:p w14:paraId="2391CE76" w14:textId="77777777" w:rsidR="00393377" w:rsidRDefault="00393377" w:rsidP="00393377">
      <w:pPr>
        <w:rPr>
          <w:rFonts w:ascii="Century Gothic" w:hAnsi="Century Gothic"/>
          <w:b/>
          <w:bCs/>
          <w:sz w:val="24"/>
          <w:szCs w:val="24"/>
        </w:rPr>
      </w:pPr>
    </w:p>
    <w:p w14:paraId="14330E45" w14:textId="0D109B71" w:rsidR="00393377" w:rsidRPr="00393377" w:rsidRDefault="00393377" w:rsidP="00393377">
      <w:pPr>
        <w:rPr>
          <w:rFonts w:ascii="Century Gothic" w:hAnsi="Century Gothic"/>
          <w:sz w:val="24"/>
          <w:szCs w:val="24"/>
        </w:rPr>
      </w:pPr>
      <w:r w:rsidRPr="00393377">
        <w:rPr>
          <w:rFonts w:ascii="Century Gothic" w:hAnsi="Century Gothic"/>
          <w:b/>
          <w:bCs/>
          <w:sz w:val="24"/>
          <w:szCs w:val="24"/>
        </w:rPr>
        <w:t>Level 1</w:t>
      </w:r>
      <w:r w:rsidR="00923601">
        <w:rPr>
          <w:rFonts w:ascii="Century Gothic" w:hAnsi="Century Gothic"/>
          <w:b/>
          <w:bCs/>
          <w:sz w:val="24"/>
          <w:szCs w:val="24"/>
        </w:rPr>
        <w:t xml:space="preserve"> - </w:t>
      </w:r>
      <w:r w:rsidR="00923601" w:rsidRPr="00917663">
        <w:rPr>
          <w:rFonts w:ascii="Century Gothic" w:hAnsi="Century Gothic"/>
          <w:sz w:val="24"/>
          <w:szCs w:val="24"/>
        </w:rPr>
        <w:t>Plus</w:t>
      </w:r>
      <w:r w:rsidRPr="00917663">
        <w:rPr>
          <w:rFonts w:ascii="Century Gothic" w:hAnsi="Century Gothic"/>
          <w:sz w:val="24"/>
          <w:szCs w:val="24"/>
        </w:rPr>
        <w:t xml:space="preserve"> </w:t>
      </w:r>
    </w:p>
    <w:p w14:paraId="05B721BF" w14:textId="77777777" w:rsidR="00393377" w:rsidRPr="00393377" w:rsidRDefault="00393377" w:rsidP="00393377">
      <w:pPr>
        <w:pStyle w:val="ListParagraph"/>
        <w:ind w:left="852"/>
        <w:rPr>
          <w:rFonts w:ascii="Century Gothic" w:hAnsi="Century Gothic"/>
          <w:sz w:val="24"/>
          <w:szCs w:val="24"/>
        </w:rPr>
      </w:pPr>
    </w:p>
    <w:p w14:paraId="5D965B1A" w14:textId="2935B56D" w:rsidR="00393377" w:rsidRPr="00393377" w:rsidRDefault="00393377" w:rsidP="00393377">
      <w:pPr>
        <w:rPr>
          <w:rFonts w:ascii="Century Gothic" w:hAnsi="Century Gothic"/>
          <w:sz w:val="24"/>
          <w:szCs w:val="24"/>
        </w:rPr>
      </w:pPr>
      <w:r w:rsidRPr="00393377">
        <w:rPr>
          <w:rFonts w:ascii="Century Gothic" w:hAnsi="Century Gothic"/>
          <w:b/>
          <w:bCs/>
          <w:sz w:val="24"/>
          <w:szCs w:val="24"/>
        </w:rPr>
        <w:t>Level 2</w:t>
      </w:r>
      <w:r w:rsidRPr="00393377">
        <w:rPr>
          <w:rFonts w:ascii="Century Gothic" w:hAnsi="Century Gothic"/>
          <w:sz w:val="24"/>
          <w:szCs w:val="24"/>
        </w:rPr>
        <w:t xml:space="preserve"> </w:t>
      </w:r>
      <w:r w:rsidR="00917663">
        <w:rPr>
          <w:rFonts w:ascii="Century Gothic" w:hAnsi="Century Gothic"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Premium</w:t>
      </w:r>
      <w:r w:rsidR="00923601" w:rsidRPr="00917663">
        <w:rPr>
          <w:rFonts w:ascii="Century Gothic" w:hAnsi="Century Gothic"/>
          <w:sz w:val="24"/>
          <w:szCs w:val="24"/>
        </w:rPr>
        <w:t>/Select</w:t>
      </w:r>
    </w:p>
    <w:p w14:paraId="6C31CF8E" w14:textId="77777777" w:rsidR="00393377" w:rsidRPr="00393377" w:rsidRDefault="00393377" w:rsidP="00393377">
      <w:pPr>
        <w:rPr>
          <w:rFonts w:ascii="Century Gothic" w:hAnsi="Century Gothic"/>
          <w:sz w:val="24"/>
          <w:szCs w:val="24"/>
        </w:rPr>
      </w:pPr>
    </w:p>
    <w:p w14:paraId="4DF475FE" w14:textId="6A8CB854" w:rsidR="00393377" w:rsidRDefault="00393377" w:rsidP="00393377">
      <w:pPr>
        <w:rPr>
          <w:rFonts w:ascii="Century Gothic" w:hAnsi="Century Gothic"/>
          <w:sz w:val="24"/>
          <w:szCs w:val="24"/>
        </w:rPr>
      </w:pPr>
      <w:r w:rsidRPr="00393377">
        <w:rPr>
          <w:rFonts w:ascii="Century Gothic" w:hAnsi="Century Gothic"/>
          <w:b/>
          <w:bCs/>
          <w:sz w:val="24"/>
          <w:szCs w:val="24"/>
        </w:rPr>
        <w:t>Level 3</w:t>
      </w:r>
      <w:r w:rsidR="00923601">
        <w:rPr>
          <w:rFonts w:ascii="Century Gothic" w:hAnsi="Century Gothic"/>
          <w:b/>
          <w:bCs/>
          <w:sz w:val="24"/>
          <w:szCs w:val="24"/>
        </w:rPr>
        <w:t xml:space="preserve"> - </w:t>
      </w:r>
      <w:r w:rsidR="00923601" w:rsidRPr="00917663">
        <w:rPr>
          <w:rFonts w:ascii="Century Gothic" w:hAnsi="Century Gothic"/>
          <w:sz w:val="24"/>
          <w:szCs w:val="24"/>
        </w:rPr>
        <w:t>Classic</w:t>
      </w:r>
      <w:r w:rsidRPr="00917663">
        <w:rPr>
          <w:rFonts w:ascii="Century Gothic" w:hAnsi="Century Gothic"/>
          <w:sz w:val="24"/>
          <w:szCs w:val="24"/>
        </w:rPr>
        <w:t xml:space="preserve"> </w:t>
      </w:r>
    </w:p>
    <w:p w14:paraId="049E62D5" w14:textId="16C470E3" w:rsidR="00393377" w:rsidRDefault="00393377" w:rsidP="00393377">
      <w:pPr>
        <w:rPr>
          <w:rFonts w:ascii="Century Gothic" w:hAnsi="Century Gothic"/>
          <w:sz w:val="24"/>
          <w:szCs w:val="24"/>
        </w:rPr>
      </w:pPr>
    </w:p>
    <w:p w14:paraId="62BAC926" w14:textId="45D1A633" w:rsidR="00393377" w:rsidRDefault="00923601" w:rsidP="003933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Common Industry Quality Level </w:t>
      </w:r>
      <w:r w:rsidR="00393377">
        <w:rPr>
          <w:rFonts w:ascii="Century Gothic" w:hAnsi="Century Gothic"/>
          <w:b/>
          <w:bCs/>
          <w:sz w:val="40"/>
          <w:szCs w:val="40"/>
        </w:rPr>
        <w:t>Terminology</w:t>
      </w:r>
    </w:p>
    <w:p w14:paraId="6D888152" w14:textId="6CE537FD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variety of terms are </w:t>
      </w:r>
      <w:r w:rsidR="00E53AD0">
        <w:rPr>
          <w:rFonts w:ascii="Century Gothic" w:hAnsi="Century Gothic"/>
          <w:sz w:val="24"/>
          <w:szCs w:val="24"/>
        </w:rPr>
        <w:t xml:space="preserve">commonly </w:t>
      </w:r>
      <w:r>
        <w:rPr>
          <w:rFonts w:ascii="Century Gothic" w:hAnsi="Century Gothic"/>
          <w:sz w:val="24"/>
          <w:szCs w:val="24"/>
        </w:rPr>
        <w:t xml:space="preserve">utilized to classify the various quality levels of natural stone pavers.  </w:t>
      </w:r>
      <w:r w:rsidR="00E53AD0">
        <w:rPr>
          <w:rFonts w:ascii="Century Gothic" w:hAnsi="Century Gothic"/>
          <w:sz w:val="24"/>
          <w:szCs w:val="24"/>
        </w:rPr>
        <w:t>These terms are utilized without any qualifying data.  Some of the terms commonly used without include:</w:t>
      </w:r>
    </w:p>
    <w:p w14:paraId="34F16185" w14:textId="77777777" w:rsidR="00923601" w:rsidRDefault="00923601" w:rsidP="00393377">
      <w:pPr>
        <w:rPr>
          <w:rFonts w:ascii="Century Gothic" w:hAnsi="Century Gothic"/>
          <w:sz w:val="24"/>
          <w:szCs w:val="24"/>
        </w:rPr>
      </w:pPr>
    </w:p>
    <w:p w14:paraId="55264F1E" w14:textId="7268AE3D" w:rsidR="00E53AD0" w:rsidRDefault="00923601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Plus</w:t>
      </w:r>
    </w:p>
    <w:p w14:paraId="49B8211D" w14:textId="60B68557" w:rsidR="00E53AD0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Premium</w:t>
      </w:r>
    </w:p>
    <w:p w14:paraId="229C1BE6" w14:textId="66683347" w:rsidR="00E53AD0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Select</w:t>
      </w:r>
    </w:p>
    <w:p w14:paraId="46842813" w14:textId="7EE794A5" w:rsidR="00E53AD0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Standard</w:t>
      </w:r>
    </w:p>
    <w:p w14:paraId="153E6B31" w14:textId="620801DC" w:rsidR="00E53AD0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Commercial</w:t>
      </w:r>
    </w:p>
    <w:p w14:paraId="683C355A" w14:textId="30A1D561" w:rsidR="00E53AD0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Builder Grade</w:t>
      </w:r>
    </w:p>
    <w:p w14:paraId="78C961B6" w14:textId="77777777" w:rsidR="00E53AD0" w:rsidRDefault="00E53AD0" w:rsidP="00393377">
      <w:pPr>
        <w:rPr>
          <w:rFonts w:ascii="Century Gothic" w:hAnsi="Century Gothic"/>
          <w:sz w:val="24"/>
          <w:szCs w:val="24"/>
        </w:rPr>
      </w:pPr>
    </w:p>
    <w:p w14:paraId="4B83B671" w14:textId="30E26855" w:rsidR="00E53AD0" w:rsidRPr="00393377" w:rsidRDefault="00E53AD0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Unless these terms are accompanied by a defined assessment level such as GSI the terms are meaningless.  </w:t>
      </w:r>
    </w:p>
    <w:p w14:paraId="092B71D6" w14:textId="77777777" w:rsidR="00393377" w:rsidRDefault="00393377" w:rsidP="00393377">
      <w:pPr>
        <w:rPr>
          <w:rFonts w:ascii="Century Gothic" w:hAnsi="Century Gothic"/>
          <w:sz w:val="24"/>
          <w:szCs w:val="24"/>
        </w:rPr>
      </w:pPr>
    </w:p>
    <w:p w14:paraId="5E569E09" w14:textId="1E969A2A" w:rsidR="00393377" w:rsidRDefault="00393377" w:rsidP="003933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40"/>
          <w:szCs w:val="40"/>
        </w:rPr>
        <w:t>Range</w:t>
      </w:r>
    </w:p>
    <w:p w14:paraId="0EE00E8C" w14:textId="0DB5FC7F" w:rsidR="00393377" w:rsidRDefault="00393377" w:rsidP="00291F6F">
      <w:pPr>
        <w:rPr>
          <w:rFonts w:ascii="Century Gothic" w:hAnsi="Century Gothic"/>
          <w:sz w:val="24"/>
          <w:szCs w:val="24"/>
        </w:rPr>
      </w:pPr>
      <w:r w:rsidRPr="00393377">
        <w:rPr>
          <w:rFonts w:ascii="Century Gothic" w:hAnsi="Century Gothic"/>
          <w:sz w:val="24"/>
          <w:szCs w:val="24"/>
        </w:rPr>
        <w:t>Specification range is equivalent to 90% total volume.</w:t>
      </w:r>
    </w:p>
    <w:p w14:paraId="19A45866" w14:textId="77777777" w:rsidR="00393377" w:rsidRPr="00393377" w:rsidRDefault="00393377" w:rsidP="00291F6F">
      <w:pPr>
        <w:rPr>
          <w:rFonts w:ascii="Century Gothic" w:hAnsi="Century Gothic"/>
          <w:sz w:val="24"/>
          <w:szCs w:val="24"/>
        </w:rPr>
      </w:pPr>
    </w:p>
    <w:p w14:paraId="628B6E38" w14:textId="77777777" w:rsidR="00393377" w:rsidRDefault="00393377" w:rsidP="00291F6F">
      <w:pPr>
        <w:rPr>
          <w:rFonts w:ascii="Century Gothic" w:hAnsi="Century Gothic"/>
          <w:b/>
          <w:bCs/>
          <w:sz w:val="40"/>
          <w:szCs w:val="40"/>
        </w:rPr>
      </w:pPr>
    </w:p>
    <w:p w14:paraId="7A94E1E8" w14:textId="77777777" w:rsidR="00393377" w:rsidRDefault="00393377" w:rsidP="00291F6F">
      <w:pPr>
        <w:rPr>
          <w:rFonts w:ascii="Century Gothic" w:hAnsi="Century Gothic"/>
          <w:b/>
          <w:bCs/>
          <w:sz w:val="40"/>
          <w:szCs w:val="40"/>
        </w:rPr>
      </w:pPr>
    </w:p>
    <w:p w14:paraId="0319EA02" w14:textId="4ED1E5A8" w:rsidR="00393377" w:rsidRPr="00393377" w:rsidRDefault="00393377" w:rsidP="00291F6F">
      <w:pPr>
        <w:rPr>
          <w:rFonts w:ascii="Century Gothic" w:hAnsi="Century Gothic"/>
          <w:b/>
          <w:bCs/>
          <w:sz w:val="40"/>
          <w:szCs w:val="40"/>
        </w:rPr>
      </w:pPr>
      <w:r w:rsidRPr="00393377">
        <w:rPr>
          <w:rFonts w:ascii="Century Gothic" w:hAnsi="Century Gothic"/>
          <w:b/>
          <w:bCs/>
          <w:sz w:val="40"/>
          <w:szCs w:val="40"/>
        </w:rPr>
        <w:lastRenderedPageBreak/>
        <w:t>Determining Factors</w:t>
      </w:r>
    </w:p>
    <w:p w14:paraId="689FCE9D" w14:textId="77777777" w:rsidR="00393377" w:rsidRDefault="00393377" w:rsidP="00291F6F">
      <w:pPr>
        <w:rPr>
          <w:rFonts w:ascii="Century Gothic" w:hAnsi="Century Gothic"/>
          <w:sz w:val="40"/>
          <w:szCs w:val="40"/>
        </w:rPr>
      </w:pPr>
    </w:p>
    <w:p w14:paraId="2E92E4F4" w14:textId="449AD63E" w:rsidR="00291F6F" w:rsidRDefault="00291F6F" w:rsidP="00291F6F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1 – Color </w:t>
      </w:r>
      <w:r w:rsidR="00C14A3C">
        <w:rPr>
          <w:rFonts w:ascii="Century Gothic" w:hAnsi="Century Gothic"/>
          <w:sz w:val="40"/>
          <w:szCs w:val="40"/>
        </w:rPr>
        <w:t>Variation</w:t>
      </w:r>
    </w:p>
    <w:p w14:paraId="1C1A82D7" w14:textId="75FA91F1" w:rsidR="00C14A3C" w:rsidRDefault="00291F6F" w:rsidP="00291F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Variation in color is inherent in </w:t>
      </w:r>
      <w:r w:rsidR="00C14A3C">
        <w:rPr>
          <w:rFonts w:ascii="Century Gothic" w:hAnsi="Century Gothic"/>
          <w:sz w:val="24"/>
          <w:szCs w:val="24"/>
        </w:rPr>
        <w:t>all types of natural</w:t>
      </w:r>
      <w:r>
        <w:rPr>
          <w:rFonts w:ascii="Century Gothic" w:hAnsi="Century Gothic"/>
          <w:sz w:val="24"/>
          <w:szCs w:val="24"/>
        </w:rPr>
        <w:t xml:space="preserve"> stone</w:t>
      </w:r>
      <w:r w:rsidR="00C14A3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.</w:t>
      </w:r>
      <w:r w:rsidR="00C14A3C">
        <w:rPr>
          <w:rFonts w:ascii="Century Gothic" w:hAnsi="Century Gothic"/>
          <w:sz w:val="24"/>
          <w:szCs w:val="24"/>
        </w:rPr>
        <w:t xml:space="preserve">  The degree in which the color varies is what determines the quality level of the travertine paver.</w:t>
      </w:r>
    </w:p>
    <w:p w14:paraId="28BDBD91" w14:textId="2E00CFC7" w:rsidR="00417FB0" w:rsidRDefault="00417FB0" w:rsidP="00291F6F">
      <w:pPr>
        <w:rPr>
          <w:rFonts w:ascii="Century Gothic" w:hAnsi="Century Gothic"/>
          <w:sz w:val="24"/>
          <w:szCs w:val="24"/>
        </w:rPr>
      </w:pPr>
    </w:p>
    <w:p w14:paraId="0532BC87" w14:textId="5BBE28F0" w:rsidR="00417FB0" w:rsidRDefault="00A30E50" w:rsidP="00291F6F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293572F4" wp14:editId="0287C679">
            <wp:extent cx="5394960" cy="967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" t="67450" r="4487" b="8689"/>
                    <a:stretch/>
                  </pic:blipFill>
                  <pic:spPr bwMode="auto">
                    <a:xfrm>
                      <a:off x="0" y="0"/>
                      <a:ext cx="53949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1CDAA" w14:textId="77777777" w:rsidR="00417FB0" w:rsidRDefault="00417FB0" w:rsidP="00417FB0">
      <w:pPr>
        <w:rPr>
          <w:rFonts w:ascii="Century Gothic" w:hAnsi="Century Gothic"/>
          <w:sz w:val="24"/>
          <w:szCs w:val="24"/>
        </w:rPr>
      </w:pPr>
    </w:p>
    <w:p w14:paraId="7080D324" w14:textId="5EB795DA" w:rsidR="00393377" w:rsidRDefault="00417FB0" w:rsidP="00417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Level 1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Plus</w:t>
      </w:r>
    </w:p>
    <w:p w14:paraId="2C7B3E9D" w14:textId="31BAB54B" w:rsidR="00C14A3C" w:rsidRPr="00417FB0" w:rsidRDefault="00C14A3C" w:rsidP="00417FB0">
      <w:pPr>
        <w:rPr>
          <w:rFonts w:ascii="Century Gothic" w:hAnsi="Century Gothic"/>
          <w:sz w:val="24"/>
          <w:szCs w:val="24"/>
        </w:rPr>
      </w:pPr>
      <w:r w:rsidRPr="00417FB0">
        <w:rPr>
          <w:rFonts w:ascii="Century Gothic" w:hAnsi="Century Gothic"/>
          <w:sz w:val="24"/>
          <w:szCs w:val="24"/>
        </w:rPr>
        <w:t>Minimal Color Variation</w:t>
      </w:r>
      <w:r w:rsidR="00917663">
        <w:rPr>
          <w:rFonts w:ascii="Century Gothic" w:hAnsi="Century Gothic"/>
          <w:sz w:val="24"/>
          <w:szCs w:val="24"/>
        </w:rPr>
        <w:t xml:space="preserve"> – Variation ranging from A - F</w:t>
      </w:r>
    </w:p>
    <w:p w14:paraId="07F2BF47" w14:textId="77777777" w:rsidR="00C14A3C" w:rsidRDefault="00C14A3C" w:rsidP="00C14A3C">
      <w:pPr>
        <w:pStyle w:val="ListParagraph"/>
        <w:ind w:left="852"/>
        <w:rPr>
          <w:rFonts w:ascii="Century Gothic" w:hAnsi="Century Gothic"/>
          <w:sz w:val="24"/>
          <w:szCs w:val="24"/>
        </w:rPr>
      </w:pPr>
    </w:p>
    <w:p w14:paraId="449483C6" w14:textId="1BA0669E" w:rsidR="00393377" w:rsidRDefault="00417FB0" w:rsidP="00417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Level 2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="00917663" w:rsidRPr="00917663">
        <w:rPr>
          <w:rFonts w:ascii="Century Gothic" w:hAnsi="Century Gothic"/>
          <w:sz w:val="24"/>
          <w:szCs w:val="24"/>
        </w:rPr>
        <w:t>Premium/Select</w:t>
      </w:r>
    </w:p>
    <w:p w14:paraId="1A300848" w14:textId="35B48EE6" w:rsidR="002F7B49" w:rsidRPr="00417FB0" w:rsidRDefault="00C14A3C" w:rsidP="00417FB0">
      <w:pPr>
        <w:rPr>
          <w:rFonts w:ascii="Century Gothic" w:hAnsi="Century Gothic"/>
          <w:sz w:val="24"/>
          <w:szCs w:val="24"/>
        </w:rPr>
      </w:pPr>
      <w:r w:rsidRPr="00417FB0">
        <w:rPr>
          <w:rFonts w:ascii="Century Gothic" w:hAnsi="Century Gothic"/>
          <w:sz w:val="24"/>
          <w:szCs w:val="24"/>
        </w:rPr>
        <w:t>Moderate Color Variation</w:t>
      </w:r>
      <w:r w:rsidR="00917663">
        <w:rPr>
          <w:rFonts w:ascii="Century Gothic" w:hAnsi="Century Gothic"/>
          <w:sz w:val="24"/>
          <w:szCs w:val="24"/>
        </w:rPr>
        <w:t xml:space="preserve"> - </w:t>
      </w:r>
      <w:r w:rsidR="00917663">
        <w:rPr>
          <w:rFonts w:ascii="Century Gothic" w:hAnsi="Century Gothic"/>
          <w:sz w:val="24"/>
          <w:szCs w:val="24"/>
        </w:rPr>
        <w:t xml:space="preserve">Variation ranging from A - </w:t>
      </w:r>
      <w:r w:rsidR="009132DC">
        <w:rPr>
          <w:rFonts w:ascii="Century Gothic" w:hAnsi="Century Gothic"/>
          <w:sz w:val="24"/>
          <w:szCs w:val="24"/>
        </w:rPr>
        <w:t>N</w:t>
      </w:r>
    </w:p>
    <w:p w14:paraId="4F9A3B8E" w14:textId="77777777" w:rsidR="00417FB0" w:rsidRPr="00417FB0" w:rsidRDefault="00417FB0" w:rsidP="00417FB0">
      <w:pPr>
        <w:rPr>
          <w:rFonts w:ascii="Century Gothic" w:hAnsi="Century Gothic"/>
          <w:sz w:val="24"/>
          <w:szCs w:val="24"/>
        </w:rPr>
      </w:pPr>
    </w:p>
    <w:p w14:paraId="52D1D57A" w14:textId="0737D80D" w:rsidR="00393377" w:rsidRDefault="00417FB0" w:rsidP="00417F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Level </w:t>
      </w:r>
      <w:r w:rsidRPr="00917663">
        <w:rPr>
          <w:rFonts w:ascii="Century Gothic" w:hAnsi="Century Gothic"/>
          <w:b/>
          <w:bCs/>
          <w:sz w:val="24"/>
          <w:szCs w:val="24"/>
        </w:rPr>
        <w:t>3</w:t>
      </w:r>
      <w:r w:rsidR="00C14A3C" w:rsidRPr="0091766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17663" w:rsidRPr="00917663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Classic</w:t>
      </w:r>
    </w:p>
    <w:p w14:paraId="5AAA3BEB" w14:textId="22CF0427" w:rsidR="00C14A3C" w:rsidRPr="00417FB0" w:rsidRDefault="00C14A3C" w:rsidP="00417FB0">
      <w:pPr>
        <w:rPr>
          <w:rFonts w:ascii="Century Gothic" w:hAnsi="Century Gothic"/>
          <w:sz w:val="24"/>
          <w:szCs w:val="24"/>
        </w:rPr>
      </w:pPr>
      <w:r w:rsidRPr="00417FB0">
        <w:rPr>
          <w:rFonts w:ascii="Century Gothic" w:hAnsi="Century Gothic"/>
          <w:sz w:val="24"/>
          <w:szCs w:val="24"/>
        </w:rPr>
        <w:t>Considerable Color Variation</w:t>
      </w:r>
      <w:r w:rsidR="00917663">
        <w:rPr>
          <w:rFonts w:ascii="Century Gothic" w:hAnsi="Century Gothic"/>
          <w:sz w:val="24"/>
          <w:szCs w:val="24"/>
        </w:rPr>
        <w:t xml:space="preserve"> – Variation ranging from A - Z</w:t>
      </w:r>
    </w:p>
    <w:p w14:paraId="179989D4" w14:textId="1A31724C" w:rsidR="002F7B49" w:rsidRDefault="002F7B49" w:rsidP="002F7B49">
      <w:pPr>
        <w:pStyle w:val="ListParagraph"/>
        <w:ind w:left="852"/>
        <w:rPr>
          <w:rFonts w:ascii="Century Gothic" w:hAnsi="Century Gothic"/>
          <w:sz w:val="24"/>
          <w:szCs w:val="24"/>
        </w:rPr>
      </w:pPr>
    </w:p>
    <w:p w14:paraId="3B53FE8B" w14:textId="5FD254AB" w:rsidR="00417FB0" w:rsidRDefault="00417FB0" w:rsidP="00417FB0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2 – Pitting </w:t>
      </w:r>
    </w:p>
    <w:p w14:paraId="23071CAF" w14:textId="62E42303" w:rsidR="00393377" w:rsidRDefault="00393377" w:rsidP="00417FB0">
      <w:pPr>
        <w:rPr>
          <w:rFonts w:ascii="Century Gothic" w:hAnsi="Century Gothic"/>
          <w:sz w:val="40"/>
          <w:szCs w:val="40"/>
        </w:rPr>
      </w:pPr>
    </w:p>
    <w:p w14:paraId="1846A48B" w14:textId="2692AE3A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Level 1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 - </w:t>
      </w:r>
      <w:r w:rsidR="00917663" w:rsidRPr="00917663">
        <w:rPr>
          <w:rFonts w:ascii="Century Gothic" w:hAnsi="Century Gothic"/>
          <w:sz w:val="24"/>
          <w:szCs w:val="24"/>
        </w:rPr>
        <w:t>Plus</w:t>
      </w:r>
    </w:p>
    <w:p w14:paraId="1DB2D48B" w14:textId="6923348C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Pitting no larger than 1/8”</w:t>
      </w:r>
    </w:p>
    <w:p w14:paraId="06A3C6B7" w14:textId="493CF6FF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Total pitting less than 5%-10% total surface area</w:t>
      </w:r>
    </w:p>
    <w:p w14:paraId="70908BD2" w14:textId="77777777" w:rsidR="00393377" w:rsidRDefault="00393377" w:rsidP="00393377">
      <w:pPr>
        <w:pStyle w:val="ListParagraph"/>
        <w:ind w:left="852"/>
        <w:rPr>
          <w:rFonts w:ascii="Century Gothic" w:hAnsi="Century Gothic"/>
          <w:sz w:val="24"/>
          <w:szCs w:val="24"/>
        </w:rPr>
      </w:pPr>
    </w:p>
    <w:p w14:paraId="7450E162" w14:textId="614786D6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Level 2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– </w:t>
      </w:r>
      <w:r w:rsidR="00917663" w:rsidRPr="00917663">
        <w:rPr>
          <w:rFonts w:ascii="Century Gothic" w:hAnsi="Century Gothic"/>
          <w:sz w:val="24"/>
          <w:szCs w:val="24"/>
        </w:rPr>
        <w:t>Premium/Select</w:t>
      </w:r>
    </w:p>
    <w:p w14:paraId="5FFBCAFA" w14:textId="566B7343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Pitting no larger than 3/8”</w:t>
      </w:r>
    </w:p>
    <w:p w14:paraId="59A6C6BD" w14:textId="2648DB08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Total pitting less than 10%-20% total surface area</w:t>
      </w:r>
    </w:p>
    <w:p w14:paraId="5DE37498" w14:textId="77777777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</w:p>
    <w:p w14:paraId="79FCDF21" w14:textId="6CA29310" w:rsidR="00393377" w:rsidRDefault="00393377" w:rsidP="003933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Level 3</w:t>
      </w:r>
      <w:r w:rsidRPr="00417FB0">
        <w:rPr>
          <w:rFonts w:ascii="Century Gothic" w:hAnsi="Century Gothic"/>
          <w:sz w:val="24"/>
          <w:szCs w:val="24"/>
        </w:rPr>
        <w:t xml:space="preserve">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Classic</w:t>
      </w:r>
    </w:p>
    <w:p w14:paraId="06FC6F64" w14:textId="41CFA83D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Pitting no larger than 3/4”</w:t>
      </w:r>
    </w:p>
    <w:p w14:paraId="1D4A0F78" w14:textId="305FFF9B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Total pitting less than 20%-40% total surface area</w:t>
      </w:r>
    </w:p>
    <w:p w14:paraId="23FB9E81" w14:textId="3D6F57A7" w:rsidR="00393377" w:rsidRDefault="00393377" w:rsidP="00393377">
      <w:pPr>
        <w:rPr>
          <w:rFonts w:ascii="Century Gothic" w:hAnsi="Century Gothic"/>
          <w:sz w:val="24"/>
          <w:szCs w:val="24"/>
        </w:rPr>
      </w:pPr>
    </w:p>
    <w:p w14:paraId="6F1F6387" w14:textId="74D2D9B1" w:rsidR="00393377" w:rsidRDefault="00393377" w:rsidP="0039337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3 – Thickness &amp; Dimensions </w:t>
      </w:r>
    </w:p>
    <w:p w14:paraId="43274DF3" w14:textId="1D0C2566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Level 1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Plus</w:t>
      </w:r>
    </w:p>
    <w:p w14:paraId="7CCC192E" w14:textId="64508825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Variation no greater than 1/16”</w:t>
      </w:r>
    </w:p>
    <w:p w14:paraId="3CEEED1A" w14:textId="77777777" w:rsidR="00393377" w:rsidRDefault="00393377" w:rsidP="00393377">
      <w:pPr>
        <w:pStyle w:val="ListParagraph"/>
        <w:ind w:left="852"/>
        <w:rPr>
          <w:rFonts w:ascii="Century Gothic" w:hAnsi="Century Gothic"/>
          <w:sz w:val="24"/>
          <w:szCs w:val="24"/>
        </w:rPr>
      </w:pPr>
    </w:p>
    <w:p w14:paraId="350ACDCC" w14:textId="7B0F0AEF" w:rsidR="00393377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Level 2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– </w:t>
      </w:r>
      <w:r w:rsidR="00917663" w:rsidRPr="00917663">
        <w:rPr>
          <w:rFonts w:ascii="Century Gothic" w:hAnsi="Century Gothic"/>
          <w:sz w:val="24"/>
          <w:szCs w:val="24"/>
        </w:rPr>
        <w:t>Premium/Select</w:t>
      </w:r>
    </w:p>
    <w:p w14:paraId="79FB5A7F" w14:textId="31AF8CF8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Variation no greater than 2/16”</w:t>
      </w:r>
    </w:p>
    <w:p w14:paraId="3ACBA0B7" w14:textId="77777777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</w:p>
    <w:p w14:paraId="30E15995" w14:textId="39D264E7" w:rsidR="00393377" w:rsidRDefault="00393377" w:rsidP="003933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Level 3</w:t>
      </w:r>
      <w:r w:rsidRPr="00417FB0">
        <w:rPr>
          <w:rFonts w:ascii="Century Gothic" w:hAnsi="Century Gothic"/>
          <w:sz w:val="24"/>
          <w:szCs w:val="24"/>
        </w:rPr>
        <w:t xml:space="preserve"> </w:t>
      </w:r>
      <w:r w:rsidR="00917663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917663" w:rsidRPr="00917663">
        <w:rPr>
          <w:rFonts w:ascii="Century Gothic" w:hAnsi="Century Gothic"/>
          <w:sz w:val="24"/>
          <w:szCs w:val="24"/>
        </w:rPr>
        <w:t>Classic</w:t>
      </w:r>
    </w:p>
    <w:p w14:paraId="7644506E" w14:textId="4DE45006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Variation no greater than 3/16”</w:t>
      </w:r>
    </w:p>
    <w:p w14:paraId="73827715" w14:textId="77777777" w:rsidR="00393377" w:rsidRPr="00417FB0" w:rsidRDefault="00393377" w:rsidP="00393377">
      <w:pPr>
        <w:rPr>
          <w:rFonts w:ascii="Century Gothic" w:hAnsi="Century Gothic"/>
          <w:sz w:val="24"/>
          <w:szCs w:val="24"/>
        </w:rPr>
      </w:pPr>
    </w:p>
    <w:p w14:paraId="65202831" w14:textId="77777777" w:rsidR="00393377" w:rsidRDefault="00393377" w:rsidP="00417FB0">
      <w:pPr>
        <w:rPr>
          <w:rFonts w:ascii="Century Gothic" w:hAnsi="Century Gothic"/>
          <w:sz w:val="40"/>
          <w:szCs w:val="40"/>
        </w:rPr>
      </w:pPr>
    </w:p>
    <w:p w14:paraId="2FAB9B36" w14:textId="1CB9F3D1" w:rsidR="002F7B49" w:rsidRPr="00417FB0" w:rsidRDefault="002F7B49" w:rsidP="00417FB0">
      <w:pPr>
        <w:rPr>
          <w:rFonts w:ascii="Century Gothic" w:hAnsi="Century Gothic"/>
          <w:sz w:val="24"/>
          <w:szCs w:val="24"/>
        </w:rPr>
      </w:pPr>
    </w:p>
    <w:p w14:paraId="5744E8FC" w14:textId="41C10FB1" w:rsidR="00291F6F" w:rsidRDefault="00291F6F"/>
    <w:p w14:paraId="268E3618" w14:textId="3217E456" w:rsidR="00040118" w:rsidRDefault="00040118"/>
    <w:sectPr w:rsidR="00040118" w:rsidSect="0039337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9499D"/>
    <w:multiLevelType w:val="hybridMultilevel"/>
    <w:tmpl w:val="C59EF71E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F"/>
    <w:rsid w:val="00040118"/>
    <w:rsid w:val="00291F6F"/>
    <w:rsid w:val="002F7B49"/>
    <w:rsid w:val="00393377"/>
    <w:rsid w:val="003D0235"/>
    <w:rsid w:val="00417FB0"/>
    <w:rsid w:val="00501569"/>
    <w:rsid w:val="009132DC"/>
    <w:rsid w:val="00917663"/>
    <w:rsid w:val="00923601"/>
    <w:rsid w:val="00A30E50"/>
    <w:rsid w:val="00C14A3C"/>
    <w:rsid w:val="00E53AD0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EE66"/>
  <w15:chartTrackingRefBased/>
  <w15:docId w15:val="{0199A2EA-4DD3-4B54-AE78-B244439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Luciani</dc:creator>
  <cp:keywords/>
  <dc:description/>
  <cp:lastModifiedBy>Pamela Luciani</cp:lastModifiedBy>
  <cp:revision>7</cp:revision>
  <dcterms:created xsi:type="dcterms:W3CDTF">2020-09-17T18:52:00Z</dcterms:created>
  <dcterms:modified xsi:type="dcterms:W3CDTF">2020-12-22T17:15:00Z</dcterms:modified>
</cp:coreProperties>
</file>